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60"/>
        <w:jc w:val="center"/>
        <w:rPr/>
      </w:pPr>
      <w:r>
        <w:rPr>
          <w:rFonts w:ascii="Times New Roman" w:hAnsi="Times New Roman"/>
          <w:b/>
          <w:lang w:val="sr-CS"/>
        </w:rPr>
        <w:t>Табела 9.1.</w:t>
      </w:r>
      <w:r>
        <w:rPr>
          <w:rFonts w:ascii="Times New Roman" w:hAnsi="Times New Roman"/>
          <w:lang w:val="sr-CS"/>
        </w:rPr>
        <w:t xml:space="preserve"> Научне, уметничке и стручне квалификације наставника и задужења у настави</w:t>
      </w:r>
    </w:p>
    <w:tbl>
      <w:tblPr>
        <w:tblW w:w="9639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0"/>
        <w:gridCol w:w="605"/>
        <w:gridCol w:w="361"/>
        <w:gridCol w:w="314"/>
        <w:gridCol w:w="22"/>
        <w:gridCol w:w="519"/>
        <w:gridCol w:w="1382"/>
        <w:gridCol w:w="290"/>
        <w:gridCol w:w="818"/>
        <w:gridCol w:w="86"/>
        <w:gridCol w:w="992"/>
        <w:gridCol w:w="1365"/>
        <w:gridCol w:w="901"/>
        <w:gridCol w:w="1423"/>
      </w:tblGrid>
      <w:tr>
        <w:trPr>
          <w:trHeight w:val="429" w:hRule="atLeast"/>
        </w:trPr>
        <w:tc>
          <w:tcPr>
            <w:tcW w:w="40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 xml:space="preserve">Име и презиме </w:t>
            </w:r>
          </w:p>
        </w:tc>
        <w:tc>
          <w:tcPr>
            <w:tcW w:w="5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Јасмина Д. Шаранац Стаменковић</w:t>
            </w:r>
          </w:p>
        </w:tc>
      </w:tr>
      <w:tr>
        <w:trPr>
          <w:trHeight w:val="429" w:hRule="atLeast"/>
        </w:trPr>
        <w:tc>
          <w:tcPr>
            <w:tcW w:w="40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>Звање</w:t>
            </w:r>
          </w:p>
        </w:tc>
        <w:tc>
          <w:tcPr>
            <w:tcW w:w="5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b/>
                <w:b/>
                <w:lang w:val="sr-CS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>Доцент</w:t>
            </w:r>
          </w:p>
        </w:tc>
      </w:tr>
      <w:tr>
        <w:trPr>
          <w:trHeight w:val="429" w:hRule="atLeast"/>
        </w:trPr>
        <w:tc>
          <w:tcPr>
            <w:tcW w:w="40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cs="Times New Roman" w:ascii="Times New Roman" w:hAnsi="Times New Roman"/>
                <w:b/>
              </w:rPr>
              <w:t xml:space="preserve"> или непуним </w:t>
            </w:r>
            <w:r>
              <w:rPr>
                <w:rFonts w:cs="Times New Roman" w:ascii="Times New Roman" w:hAnsi="Times New Roman"/>
                <w:b/>
                <w:lang w:val="sr-CS"/>
              </w:rPr>
              <w:t>радним временом и од када</w:t>
            </w:r>
          </w:p>
        </w:tc>
        <w:tc>
          <w:tcPr>
            <w:tcW w:w="5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b/>
                <w:b/>
                <w:lang w:val="sr-CS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>Филозофски факултет Универзитета у Нишу, од 1. октобра 2014. године</w:t>
            </w:r>
          </w:p>
        </w:tc>
      </w:tr>
      <w:tr>
        <w:trPr>
          <w:trHeight w:val="429" w:hRule="atLeast"/>
        </w:trPr>
        <w:tc>
          <w:tcPr>
            <w:tcW w:w="40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>Ужа научна односно уметничка област</w:t>
            </w:r>
          </w:p>
        </w:tc>
        <w:tc>
          <w:tcPr>
            <w:tcW w:w="5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b/>
                <w:b/>
                <w:lang w:val="sr-CS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>Историја</w:t>
            </w:r>
          </w:p>
        </w:tc>
      </w:tr>
      <w:tr>
        <w:trPr>
          <w:trHeight w:val="429" w:hRule="atLeast"/>
        </w:trPr>
        <w:tc>
          <w:tcPr>
            <w:tcW w:w="963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>Академска каријера</w:t>
            </w:r>
          </w:p>
        </w:tc>
      </w:tr>
      <w:tr>
        <w:trPr>
          <w:trHeight w:val="429" w:hRule="atLeast"/>
        </w:trPr>
        <w:tc>
          <w:tcPr>
            <w:tcW w:w="1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b/>
                <w:b/>
                <w:lang w:val="sr-CS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Година </w:t>
            </w:r>
          </w:p>
        </w:tc>
        <w:tc>
          <w:tcPr>
            <w:tcW w:w="2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Институција </w:t>
            </w:r>
          </w:p>
        </w:tc>
        <w:tc>
          <w:tcPr>
            <w:tcW w:w="2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Научна или уметничка о</w:t>
            </w:r>
            <w:r>
              <w:rPr>
                <w:rFonts w:cs="Times New Roman" w:ascii="Times New Roman" w:hAnsi="Times New Roman"/>
                <w:lang w:val="sr-CS"/>
              </w:rPr>
              <w:t xml:space="preserve">бласт 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Ужа научна, уметничка или стручна област</w:t>
            </w:r>
          </w:p>
        </w:tc>
      </w:tr>
      <w:tr>
        <w:trPr>
          <w:trHeight w:val="429" w:hRule="atLeast"/>
        </w:trPr>
        <w:tc>
          <w:tcPr>
            <w:tcW w:w="1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>Избор у звање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2016.</w:t>
            </w:r>
          </w:p>
        </w:tc>
        <w:tc>
          <w:tcPr>
            <w:tcW w:w="2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Филозофски факултет Универзитета у Нишу</w:t>
            </w:r>
          </w:p>
        </w:tc>
        <w:tc>
          <w:tcPr>
            <w:tcW w:w="2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shd w:fill="FFFFFF" w:val="clear"/>
                <w:lang w:val="sr-CS"/>
              </w:rPr>
              <w:t>Друштвено-хуманистичких науке (Историјске, археолошке и класичне науке)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Историја</w:t>
            </w:r>
          </w:p>
        </w:tc>
      </w:tr>
      <w:tr>
        <w:trPr>
          <w:trHeight w:val="429" w:hRule="atLeast"/>
        </w:trPr>
        <w:tc>
          <w:tcPr>
            <w:tcW w:w="1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>Докторат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2016.</w:t>
            </w:r>
          </w:p>
        </w:tc>
        <w:tc>
          <w:tcPr>
            <w:tcW w:w="2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Филозофски факултет Универзитета у Београду</w:t>
            </w:r>
          </w:p>
        </w:tc>
        <w:tc>
          <w:tcPr>
            <w:tcW w:w="2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shd w:fill="FFFFFF" w:val="clear"/>
                <w:lang w:val="sr-CS"/>
              </w:rPr>
              <w:t>Друштвено-хуманистичких науке (Историјске, археолошке и класичне науке)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Историја – Византологија</w:t>
            </w:r>
          </w:p>
        </w:tc>
      </w:tr>
      <w:tr>
        <w:trPr>
          <w:trHeight w:val="429" w:hRule="atLeast"/>
        </w:trPr>
        <w:tc>
          <w:tcPr>
            <w:tcW w:w="1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>Диплома</w:t>
            </w:r>
          </w:p>
        </w:tc>
        <w:tc>
          <w:tcPr>
            <w:tcW w:w="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2010.</w:t>
            </w:r>
          </w:p>
        </w:tc>
        <w:tc>
          <w:tcPr>
            <w:tcW w:w="2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Филозофски факултет Универзитета у Нишу</w:t>
            </w:r>
          </w:p>
        </w:tc>
        <w:tc>
          <w:tcPr>
            <w:tcW w:w="2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shd w:fill="FFFFFF" w:val="clear"/>
                <w:lang w:val="sr-CS"/>
              </w:rPr>
              <w:t>Друштвено-хуманистичких науке (Историјске, археолошке и класичне науке)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Историја</w:t>
            </w:r>
          </w:p>
        </w:tc>
      </w:tr>
      <w:tr>
        <w:trPr>
          <w:trHeight w:val="429" w:hRule="atLeast"/>
        </w:trPr>
        <w:tc>
          <w:tcPr>
            <w:tcW w:w="963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 xml:space="preserve">Списак предмета за  које  је наставник акредитован </w:t>
            </w:r>
            <w:r>
              <w:rPr>
                <w:rFonts w:cs="Times New Roman" w:ascii="Times New Roman" w:hAnsi="Times New Roman"/>
                <w:b/>
              </w:rPr>
              <w:t>на првом или другом степену студија</w:t>
            </w:r>
          </w:p>
        </w:tc>
      </w:tr>
      <w:tr>
        <w:trPr>
          <w:trHeight w:val="826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>Р.Б.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Ознака предмета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iCs/>
              </w:rPr>
              <w:t>Назив предмета</w:t>
            </w:r>
            <w:r>
              <w:rPr>
                <w:rFonts w:cs="Times New Roman" w:ascii="Times New Roman" w:hAnsi="Times New Roman"/>
                <w:iCs/>
                <w:lang w:val="sr-CS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наставе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iCs/>
              </w:rPr>
              <w:t xml:space="preserve">Назив студијског програма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В</w:t>
            </w:r>
            <w:r>
              <w:rPr>
                <w:rFonts w:cs="Times New Roman" w:ascii="Times New Roman" w:hAnsi="Times New Roman"/>
                <w:iCs/>
                <w:lang w:val="sr-CS"/>
              </w:rPr>
              <w:t>рста студија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iCs/>
                <w:sz w:val="16"/>
                <w:szCs w:val="16"/>
                <w:lang w:val="sr-CS"/>
              </w:rPr>
              <w:t>(</w:t>
            </w:r>
            <w:r>
              <w:rPr>
                <w:rFonts w:cs="Times New Roman" w:ascii="Times New Roman" w:hAnsi="Times New Roman"/>
                <w:iCs/>
                <w:sz w:val="16"/>
                <w:szCs w:val="16"/>
              </w:rPr>
              <w:t>ОСС, ССС, ОАС, МСС, МАС, САС)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1.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eastAsia="NSimSun" w:cs="Times New Roman"/>
                <w:color w:val="auto"/>
                <w:kern w:val="0"/>
                <w:sz w:val="20"/>
                <w:szCs w:val="20"/>
                <w:lang w:val="sr-CS" w:eastAsia="zh-CN" w:bidi="hi-IN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0"/>
                <w:sz w:val="20"/>
                <w:szCs w:val="20"/>
                <w:lang w:val="sr-CS" w:eastAsia="zh-CN" w:bidi="hi-IN"/>
              </w:rPr>
              <w:t>ОИС</w:t>
            </w:r>
            <w:r>
              <w:rPr>
                <w:rFonts w:eastAsia="NSimSun" w:cs="Times New Roman" w:ascii="Times New Roman" w:hAnsi="Times New Roman"/>
                <w:color w:val="auto"/>
                <w:kern w:val="0"/>
                <w:sz w:val="20"/>
                <w:szCs w:val="20"/>
                <w:lang w:val="sr-RS" w:eastAsia="zh-CN" w:bidi="hi-IN"/>
              </w:rPr>
              <w:t>008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Историја Византије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П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Основне академске студије историје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ОАС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2.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eastAsia="NSimSun" w:cs="Times New Roman"/>
                <w:color w:val="auto"/>
                <w:kern w:val="0"/>
                <w:sz w:val="20"/>
                <w:szCs w:val="20"/>
                <w:lang w:val="sr-CS" w:eastAsia="zh-CN" w:bidi="hi-IN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0"/>
                <w:sz w:val="20"/>
                <w:szCs w:val="20"/>
                <w:lang w:val="sr-CS" w:eastAsia="zh-CN" w:bidi="hi-IN"/>
              </w:rPr>
              <w:t>ОИС</w:t>
            </w:r>
            <w:r>
              <w:rPr>
                <w:rFonts w:eastAsia="NSimSun" w:cs="Times New Roman" w:ascii="Times New Roman" w:hAnsi="Times New Roman"/>
                <w:color w:val="auto"/>
                <w:kern w:val="0"/>
                <w:sz w:val="20"/>
                <w:szCs w:val="20"/>
                <w:lang w:val="sr-RS" w:eastAsia="zh-CN" w:bidi="hi-IN"/>
              </w:rPr>
              <w:t>015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Византијска цивилизација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П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Основне академске студије историје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ОАС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3.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eastAsia="NSimSun" w:cs="Times New Roman"/>
                <w:color w:val="auto"/>
                <w:kern w:val="0"/>
                <w:sz w:val="20"/>
                <w:szCs w:val="20"/>
                <w:lang w:val="sr-CS" w:eastAsia="zh-CN" w:bidi="hi-IN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0"/>
                <w:sz w:val="20"/>
                <w:szCs w:val="20"/>
                <w:lang w:val="sr-CS" w:eastAsia="zh-CN" w:bidi="hi-IN"/>
              </w:rPr>
              <w:t>ОИС</w:t>
            </w:r>
            <w:r>
              <w:rPr>
                <w:rFonts w:eastAsia="NSimSun" w:cs="Times New Roman" w:ascii="Times New Roman" w:hAnsi="Times New Roman"/>
                <w:color w:val="auto"/>
                <w:kern w:val="0"/>
                <w:sz w:val="20"/>
                <w:szCs w:val="20"/>
                <w:lang w:val="sr-RS" w:eastAsia="zh-CN" w:bidi="hi-IN"/>
              </w:rPr>
              <w:t>009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Општа историја раног средњег 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П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Основне академске студије историје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ОАС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4.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eastAsia="NSimSun" w:cs="Times New Roman"/>
                <w:color w:val="auto"/>
                <w:kern w:val="0"/>
                <w:sz w:val="20"/>
                <w:szCs w:val="20"/>
                <w:lang w:val="sr-CS" w:eastAsia="zh-CN" w:bidi="hi-IN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0"/>
                <w:sz w:val="20"/>
                <w:szCs w:val="20"/>
                <w:lang w:val="sr-CS" w:eastAsia="zh-CN" w:bidi="hi-IN"/>
              </w:rPr>
              <w:t>ОИС</w:t>
            </w:r>
            <w:r>
              <w:rPr>
                <w:rFonts w:eastAsia="NSimSun" w:cs="Times New Roman" w:ascii="Times New Roman" w:hAnsi="Times New Roman"/>
                <w:color w:val="auto"/>
                <w:kern w:val="0"/>
                <w:sz w:val="20"/>
                <w:szCs w:val="20"/>
                <w:lang w:val="sr-RS" w:eastAsia="zh-CN" w:bidi="hi-IN"/>
              </w:rPr>
              <w:t>012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Општа историја позног средњег 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П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Основне академске студије историје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ОАС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5.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eastAsia="NSimSun" w:cs="Times New Roman"/>
                <w:color w:val="auto"/>
                <w:kern w:val="0"/>
                <w:sz w:val="20"/>
                <w:szCs w:val="20"/>
                <w:lang w:val="sr-CS" w:eastAsia="zh-CN" w:bidi="hi-IN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0"/>
                <w:sz w:val="20"/>
                <w:szCs w:val="20"/>
                <w:lang w:val="sr-RS" w:eastAsia="zh-CN" w:bidi="hi-IN"/>
              </w:rPr>
              <w:t>ОИС037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eastAsia="NSimSun" w:cs="Times New Roman"/>
                <w:color w:val="auto"/>
                <w:kern w:val="0"/>
                <w:sz w:val="20"/>
                <w:szCs w:val="20"/>
                <w:lang w:val="sr-CS" w:eastAsia="zh-CN" w:bidi="hi-IN"/>
              </w:rPr>
            </w:pPr>
            <w:r>
              <w:rPr>
                <w:rFonts w:eastAsia="NSimSun" w:cs="Times New Roman" w:ascii="Times New Roman" w:hAnsi="Times New Roman"/>
                <w:color w:val="auto"/>
                <w:kern w:val="0"/>
                <w:sz w:val="20"/>
                <w:szCs w:val="20"/>
                <w:lang w:val="sr-CS" w:eastAsia="zh-CN" w:bidi="hi-IN"/>
              </w:rPr>
              <w:t>Византијски човек и друштво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П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Основне академске студије историје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ОАС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lang w:val="sr-RS"/>
              </w:rPr>
            </w:pPr>
            <w:r>
              <w:rPr>
                <w:lang w:val="sr-RS"/>
              </w:rPr>
              <w:t>6.</w:t>
            </w:r>
          </w:p>
        </w:tc>
        <w:tc>
          <w:tcPr>
            <w:tcW w:w="12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/>
                <w:b w:val="false"/>
                <w:b w:val="false"/>
                <w:bCs w:val="false"/>
              </w:rPr>
            </w:pPr>
            <w:r>
              <w:rPr>
                <w:rFonts w:eastAsia="Times New Roman" w:cs="Times New Roman"/>
                <w:b w:val="false"/>
                <w:bCs w:val="false"/>
                <w:color w:val="auto"/>
                <w:sz w:val="20"/>
                <w:szCs w:val="20"/>
                <w:lang w:val="sr-RS" w:eastAsia="zh-CN" w:bidi="ar-SA"/>
              </w:rPr>
              <w:t>ОИС00</w:t>
            </w:r>
            <w:r>
              <w:rPr>
                <w:rFonts w:cs="Times New Roman"/>
                <w:b w:val="false"/>
                <w:bCs w:val="false"/>
                <w:lang w:val="sr-RS"/>
              </w:rPr>
              <w:t>4</w:t>
            </w:r>
          </w:p>
        </w:tc>
        <w:tc>
          <w:tcPr>
            <w:tcW w:w="311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lang w:val="sr-RS"/>
              </w:rPr>
            </w:pPr>
            <w:r>
              <w:rPr>
                <w:lang w:val="sr-RS"/>
              </w:rPr>
              <w:t>Увод у историјске студије са методологијом 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lang w:val="sr-RS"/>
              </w:rPr>
            </w:pPr>
            <w:r>
              <w:rPr>
                <w:lang w:val="sr-RS"/>
              </w:rPr>
              <w:t>П</w:t>
            </w:r>
          </w:p>
        </w:tc>
        <w:tc>
          <w:tcPr>
            <w:tcW w:w="226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lang w:val="sr-RS"/>
              </w:rPr>
            </w:pPr>
            <w:r>
              <w:rPr>
                <w:lang w:val="sr-RS"/>
              </w:rPr>
              <w:t>Основне академске студије историје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lang w:val="sr-RS"/>
              </w:rPr>
            </w:pPr>
            <w:r>
              <w:rPr>
                <w:lang w:val="sr-RS"/>
              </w:rPr>
              <w:t>ОАС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lang w:val="sr-RS"/>
              </w:rPr>
              <w:t>7</w:t>
            </w:r>
            <w:r>
              <w:rPr>
                <w:rFonts w:cs="Times New Roman" w:ascii="Times New Roman" w:hAnsi="Times New Roman"/>
                <w:lang w:val="sr-CS"/>
              </w:rPr>
              <w:t>.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ИСТМАС7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Балкан у позном средњем веку, 12–16. 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П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Мастер академске студије историје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МАС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/>
            </w:pPr>
            <w:r>
              <w:rPr>
                <w:b/>
                <w:bCs/>
                <w:lang w:val="sr-RS"/>
              </w:rPr>
              <w:t>8.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sr-RS"/>
              </w:rPr>
              <w:t>ИСТМАС1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Методологија научно-истраживачког рада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8"/>
                <w:szCs w:val="18"/>
                <w:lang w:val="sr-RS"/>
              </w:rPr>
            </w:pPr>
            <w:r>
              <w:rPr>
                <w:rFonts w:cs="Tahoma" w:ascii="Tahoma" w:hAnsi="Tahoma"/>
                <w:sz w:val="18"/>
                <w:szCs w:val="18"/>
                <w:lang w:val="sr-RS"/>
              </w:rPr>
              <w:t>П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20" w:after="20"/>
              <w:rPr>
                <w:lang w:val="sr-RS"/>
              </w:rPr>
            </w:pPr>
            <w:r>
              <w:rPr>
                <w:lang w:val="sr-RS"/>
              </w:rPr>
              <w:t>Основне академске студије историје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20" w:after="20"/>
              <w:jc w:val="center"/>
              <w:rPr>
                <w:lang w:val="sr-RS"/>
              </w:rPr>
            </w:pPr>
            <w:r>
              <w:rPr>
                <w:lang w:val="sr-RS"/>
              </w:rPr>
              <w:t>МАС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lang w:val="sr-RS"/>
              </w:rPr>
              <w:t>9</w:t>
            </w:r>
            <w:r>
              <w:rPr>
                <w:rFonts w:cs="Times New Roman" w:ascii="Times New Roman" w:hAnsi="Times New Roman"/>
                <w:lang w:val="sr-CS"/>
              </w:rPr>
              <w:t>.</w:t>
            </w:r>
          </w:p>
        </w:tc>
        <w:tc>
          <w:tcPr>
            <w:tcW w:w="12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ИСТМАС5</w:t>
            </w:r>
          </w:p>
        </w:tc>
        <w:tc>
          <w:tcPr>
            <w:tcW w:w="3117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Источни Медитеран у средњем веку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П</w:t>
            </w:r>
          </w:p>
        </w:tc>
        <w:tc>
          <w:tcPr>
            <w:tcW w:w="226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Мастер академске студије историје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МАС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lang w:val="sr-RS"/>
              </w:rPr>
              <w:t>10</w:t>
            </w:r>
            <w:r>
              <w:rPr>
                <w:rFonts w:cs="Times New Roman" w:ascii="Times New Roman" w:hAnsi="Times New Roman"/>
                <w:lang w:val="sr-CS"/>
              </w:rPr>
              <w:t>.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ИСТМАС8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bCs/>
                <w:color w:val="000000"/>
                <w:lang w:val="sr-CS"/>
              </w:rPr>
              <w:t>Политички и друштвени развитак српских земаља у средњем веку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П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Мастер академске студије историје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МАС</w:t>
            </w:r>
          </w:p>
        </w:tc>
      </w:tr>
      <w:tr>
        <w:trPr>
          <w:trHeight w:val="429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lang w:val="sr-RS"/>
              </w:rPr>
              <w:t>11</w:t>
            </w:r>
            <w:r>
              <w:rPr>
                <w:rFonts w:cs="Times New Roman" w:ascii="Times New Roman" w:hAnsi="Times New Roman"/>
                <w:lang w:val="sr-CS"/>
              </w:rPr>
              <w:t>.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ИСТМАС9</w:t>
            </w:r>
          </w:p>
        </w:tc>
        <w:tc>
          <w:tcPr>
            <w:tcW w:w="3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bCs/>
                <w:color w:val="000000"/>
                <w:lang w:val="sr-CS"/>
              </w:rPr>
              <w:t>Простор, становништво и привреда српских земаља у</w:t>
            </w:r>
            <w:r>
              <w:rPr>
                <w:bCs/>
                <w:color w:val="000000"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color w:val="000000"/>
                <w:lang w:val="sr-CS"/>
              </w:rPr>
              <w:t>средњем веку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П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Мастер академске студије историје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center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МАС</w:t>
            </w:r>
          </w:p>
        </w:tc>
      </w:tr>
      <w:tr>
        <w:trPr>
          <w:trHeight w:val="429" w:hRule="atLeast"/>
        </w:trPr>
        <w:tc>
          <w:tcPr>
            <w:tcW w:w="963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9" w:hRule="atLeast"/>
        </w:trPr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uppressAutoHyphens w:val="true"/>
              <w:snapToGrid w:val="false"/>
              <w:rPr>
                <w:rFonts w:ascii="Times New Roman" w:hAnsi="Times New Roman" w:cs="Times New Roman"/>
                <w:b/>
                <w:b/>
                <w:lang w:val="sr-CS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</w:r>
          </w:p>
        </w:tc>
        <w:tc>
          <w:tcPr>
            <w:tcW w:w="8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b/>
                <w:b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 xml:space="preserve">Шаранац Стаменковић, Ј. (2012): Константин Х Дука у царском говору Михаила Псела. </w:t>
            </w:r>
            <w:r>
              <w:rPr>
                <w:rFonts w:cs="Times New Roman" w:ascii="Times New Roman" w:hAnsi="Times New Roman"/>
                <w:i/>
                <w:lang w:val="ru-RU"/>
              </w:rPr>
              <w:t>ЗРВИ</w:t>
            </w:r>
            <w:r>
              <w:rPr>
                <w:rFonts w:cs="Times New Roman" w:ascii="Times New Roman" w:hAnsi="Times New Roman"/>
                <w:lang w:val="ru-RU"/>
              </w:rPr>
              <w:t xml:space="preserve"> 49, 127–143.  </w:t>
            </w:r>
            <w:r>
              <w:rPr>
                <w:rFonts w:cs="Times New Roman" w:ascii="Times New Roman" w:hAnsi="Times New Roman"/>
                <w:b/>
                <w:lang w:val="ru-RU"/>
              </w:rPr>
              <w:t>(М23)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both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</w:tr>
      <w:tr>
        <w:trPr>
          <w:trHeight w:val="429" w:hRule="atLeast"/>
        </w:trPr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uppressAutoHyphens w:val="true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8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b/>
                <w:b/>
                <w:highlight w:val="white"/>
              </w:rPr>
            </w:pPr>
            <w:r>
              <w:rPr>
                <w:rFonts w:cs="Times New Roman" w:ascii="Times New Roman" w:hAnsi="Times New Roman"/>
                <w:lang w:val="ru-RU"/>
              </w:rPr>
              <w:t xml:space="preserve">Шаранац Стаменковић, Ј. </w:t>
            </w:r>
            <w:r>
              <w:rPr>
                <w:rFonts w:cs="Times New Roman" w:ascii="Times New Roman" w:hAnsi="Times New Roman"/>
                <w:lang w:val="sr-CS"/>
              </w:rPr>
              <w:t xml:space="preserve">(2013): Иконографија печата и новца династије Дука. </w:t>
            </w:r>
            <w:r>
              <w:rPr>
                <w:rFonts w:cs="Times New Roman" w:ascii="Times New Roman" w:hAnsi="Times New Roman"/>
                <w:i/>
              </w:rPr>
              <w:t xml:space="preserve">Зограф </w:t>
            </w:r>
            <w:r>
              <w:rPr>
                <w:rFonts w:cs="Times New Roman" w:ascii="Times New Roman" w:hAnsi="Times New Roman"/>
              </w:rPr>
              <w:t xml:space="preserve">37, 55–80. </w:t>
            </w:r>
            <w:r>
              <w:rPr>
                <w:rFonts w:cs="Times New Roman" w:ascii="Times New Roman" w:hAnsi="Times New Roman"/>
                <w:b/>
                <w:lang w:val="ru-RU"/>
              </w:rPr>
              <w:t>(М23)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both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</w:tr>
      <w:tr>
        <w:trPr>
          <w:trHeight w:val="429" w:hRule="atLeast"/>
        </w:trPr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uppressAutoHyphens w:val="true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8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Шаранац Стаменковић, Ј. (2013): Константин Велики у српској историографији 20. и првих година 21. века. у: Николић, Д. – Ђорђевић, А. – Тодоровић, М. (ур.) </w:t>
            </w:r>
            <w:r>
              <w:rPr>
                <w:rFonts w:eastAsia="TimesNewRomanPSMT" w:cs="Times New Roman" w:ascii="Times New Roman" w:hAnsi="Times New Roman"/>
                <w:i/>
              </w:rPr>
              <w:t>Зборник радова</w:t>
            </w:r>
            <w:r>
              <w:rPr>
                <w:rFonts w:eastAsia="TimesNewRomanPSMT"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i/>
                <w:lang w:val="sr-CS"/>
              </w:rPr>
              <w:t>1700 година Миланског едикта</w:t>
            </w:r>
            <w:r>
              <w:rPr>
                <w:rFonts w:cs="Times New Roman" w:ascii="Times New Roman" w:hAnsi="Times New Roman"/>
                <w:lang w:val="sr-CS"/>
              </w:rPr>
              <w:t>, Ниш 16 – 17 мај</w:t>
            </w:r>
            <w:r>
              <w:rPr>
                <w:rFonts w:cs="Times New Roman" w:ascii="Times New Roman" w:hAnsi="Times New Roman"/>
              </w:rPr>
              <w:t>,</w:t>
            </w:r>
            <w:r>
              <w:rPr>
                <w:rFonts w:cs="Times New Roman" w:ascii="Times New Roman" w:hAnsi="Times New Roman"/>
                <w:lang w:val="sr-CS"/>
              </w:rPr>
              <w:t xml:space="preserve"> 969–985. </w:t>
            </w:r>
            <w:r>
              <w:rPr>
                <w:rFonts w:cs="Times New Roman" w:ascii="Times New Roman" w:hAnsi="Times New Roman"/>
                <w:b/>
                <w:lang w:val="sr-CS"/>
              </w:rPr>
              <w:t>(М33)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</w:tc>
      </w:tr>
      <w:tr>
        <w:trPr>
          <w:trHeight w:val="429" w:hRule="atLeast"/>
        </w:trPr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uppressAutoHyphens w:val="true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8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cs="Times New Roman" w:ascii="Times New Roman" w:hAnsi="Times New Roman"/>
                <w:shd w:fill="FFFFFF" w:val="clear"/>
                <w:lang w:val="sr-CS"/>
              </w:rPr>
              <w:t>Љубомировић,</w:t>
            </w:r>
            <w:r>
              <w:rPr>
                <w:rFonts w:cs="Times New Roman" w:ascii="Times New Roman" w:hAnsi="Times New Roman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hd w:fill="FFFFFF" w:val="clear"/>
                <w:lang w:val="sr-CS"/>
              </w:rPr>
              <w:t xml:space="preserve">И. –  </w:t>
            </w:r>
            <w:r>
              <w:rPr>
                <w:rFonts w:cs="Times New Roman" w:ascii="Times New Roman" w:hAnsi="Times New Roman"/>
                <w:lang w:val="ru-RU"/>
              </w:rPr>
              <w:t xml:space="preserve">Шаранац Стаменковић, Ј. </w:t>
            </w:r>
            <w:r>
              <w:rPr>
                <w:rFonts w:cs="Times New Roman" w:ascii="Times New Roman" w:hAnsi="Times New Roman"/>
                <w:lang w:val="sr-CS"/>
              </w:rPr>
              <w:t xml:space="preserve">(2014): Однос Константина Великог према паганству у писаним изворима позноримске епохе. у: Ракоција, М. (ур.) </w:t>
            </w:r>
            <w:r>
              <w:rPr>
                <w:rFonts w:eastAsia="TimesNewRomanPSMT" w:cs="Times New Roman" w:ascii="Times New Roman" w:hAnsi="Times New Roman"/>
                <w:i/>
              </w:rPr>
              <w:t>Зборник радова</w:t>
            </w:r>
            <w:r>
              <w:rPr>
                <w:rFonts w:eastAsia="TimesNewRomanPSMT"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i/>
              </w:rPr>
              <w:t>Ниш и Византија</w:t>
            </w:r>
            <w:r>
              <w:rPr>
                <w:rFonts w:cs="Times New Roman" w:ascii="Times New Roman" w:hAnsi="Times New Roman"/>
              </w:rPr>
              <w:t xml:space="preserve"> XII, Ниш, 537–544.  </w:t>
            </w:r>
            <w:r>
              <w:rPr>
                <w:rFonts w:cs="Times New Roman" w:ascii="Times New Roman" w:hAnsi="Times New Roman"/>
                <w:b/>
                <w:lang w:val="ru-RU"/>
              </w:rPr>
              <w:t>(М14)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both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</w:tr>
      <w:tr>
        <w:trPr>
          <w:trHeight w:val="429" w:hRule="atLeast"/>
        </w:trPr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uppressAutoHyphens w:val="true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8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highlight w:val="white"/>
                <w:lang w:val="ru-RU"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Шаранац Стаменковић, Ј. (2014): Похвални говори Михаила Псела посвећени цару Михаилу </w:t>
            </w:r>
            <w:r>
              <w:rPr>
                <w:rFonts w:cs="Times New Roman" w:ascii="Times New Roman" w:hAnsi="Times New Roman"/>
              </w:rPr>
              <w:t>VII</w:t>
            </w:r>
            <w:r>
              <w:rPr>
                <w:rFonts w:cs="Times New Roman" w:ascii="Times New Roman" w:hAnsi="Times New Roman"/>
                <w:lang w:val="sr-CS"/>
              </w:rPr>
              <w:t xml:space="preserve"> Дуки. </w:t>
            </w:r>
            <w:r>
              <w:rPr>
                <w:rFonts w:cs="Times New Roman" w:ascii="Times New Roman" w:hAnsi="Times New Roman"/>
                <w:i/>
                <w:lang w:val="sr-CS"/>
              </w:rPr>
              <w:t>Црквене студије</w:t>
            </w:r>
            <w:r>
              <w:rPr>
                <w:rFonts w:cs="Times New Roman" w:ascii="Times New Roman" w:hAnsi="Times New Roman"/>
                <w:lang w:val="sr-CS"/>
              </w:rPr>
              <w:t xml:space="preserve"> 11, 223–237. </w:t>
            </w:r>
            <w:r>
              <w:rPr>
                <w:rFonts w:cs="Times New Roman" w:ascii="Times New Roman" w:hAnsi="Times New Roman"/>
                <w:b/>
                <w:lang w:val="sr-CS"/>
              </w:rPr>
              <w:t>(</w:t>
            </w:r>
            <w:r>
              <w:rPr>
                <w:rFonts w:cs="Times New Roman" w:ascii="Times New Roman" w:hAnsi="Times New Roman"/>
                <w:b/>
                <w:lang w:val="ru-RU"/>
              </w:rPr>
              <w:t>М24)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both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</w:tr>
      <w:tr>
        <w:trPr>
          <w:trHeight w:val="429" w:hRule="atLeast"/>
        </w:trPr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uppressAutoHyphens w:val="true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8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Шаранац Стаменковић, Ј. (2017): </w:t>
            </w:r>
            <w:r>
              <w:rPr>
                <w:rFonts w:cs="Times New Roman" w:ascii="Times New Roman" w:hAnsi="Times New Roman"/>
              </w:rPr>
              <w:t>Psellos</w:t>
            </w:r>
            <w:r>
              <w:rPr>
                <w:rFonts w:cs="Times New Roman" w:ascii="Times New Roman" w:hAnsi="Times New Roman"/>
                <w:lang w:val="sr-CS"/>
              </w:rPr>
              <w:t xml:space="preserve">’ </w:t>
            </w:r>
            <w:r>
              <w:rPr>
                <w:rFonts w:cs="Times New Roman" w:ascii="Times New Roman" w:hAnsi="Times New Roman"/>
              </w:rPr>
              <w:t>Epistle</w:t>
            </w:r>
            <w:r>
              <w:rPr>
                <w:rFonts w:cs="Times New Roman" w:ascii="Times New Roman" w:hAnsi="Times New Roman"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lang w:val="sr-CS"/>
              </w:rPr>
              <w:t>(</w:t>
            </w:r>
            <w:r>
              <w:rPr>
                <w:rFonts w:cs="Times New Roman" w:ascii="Times New Roman" w:hAnsi="Times New Roman"/>
                <w:i/>
                <w:lang w:val="el-GR"/>
              </w:rPr>
              <w:t>Τοῦ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lang w:val="el-GR"/>
              </w:rPr>
              <w:t>αὐτοῦ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) </w:t>
            </w:r>
            <w:r>
              <w:rPr>
                <w:rFonts w:cs="Times New Roman" w:ascii="Times New Roman" w:hAnsi="Times New Roman"/>
                <w:i/>
                <w:lang w:val="el-GR"/>
              </w:rPr>
              <w:t>πρὸς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lang w:val="el-GR"/>
              </w:rPr>
              <w:t>τὸν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lang w:val="el-GR"/>
              </w:rPr>
              <w:t>βασιλέα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lang w:val="el-GR"/>
              </w:rPr>
              <w:t>τὸν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lang w:val="el-GR"/>
              </w:rPr>
              <w:t>Δούκαν</w:t>
            </w:r>
            <w:r>
              <w:rPr>
                <w:rFonts w:cs="Times New Roman" w:ascii="Times New Roman" w:hAnsi="Times New Roman"/>
                <w:lang w:val="sr-CS"/>
              </w:rPr>
              <w:t>: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</w:rPr>
              <w:t>The</w:t>
            </w:r>
            <w:r>
              <w:rPr>
                <w:rFonts w:cs="Times New Roman" w:ascii="Times New Roman" w:hAnsi="Times New Roman"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</w:rPr>
              <w:t>Byzantine</w:t>
            </w:r>
            <w:r>
              <w:rPr>
                <w:rFonts w:cs="Times New Roman" w:ascii="Times New Roman" w:hAnsi="Times New Roman"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</w:rPr>
              <w:t>Basileus</w:t>
            </w:r>
            <w:r>
              <w:rPr>
                <w:rFonts w:cs="Times New Roman" w:ascii="Times New Roman" w:hAnsi="Times New Roman"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</w:rPr>
              <w:t>Archetype</w:t>
            </w:r>
            <w:r>
              <w:rPr>
                <w:rFonts w:cs="Times New Roman" w:ascii="Times New Roman" w:hAnsi="Times New Roman"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</w:rPr>
              <w:t>Of</w:t>
            </w:r>
            <w:r>
              <w:rPr>
                <w:rFonts w:cs="Times New Roman" w:ascii="Times New Roman" w:hAnsi="Times New Roman"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</w:rPr>
              <w:t>God</w:t>
            </w:r>
            <w:r>
              <w:rPr>
                <w:rFonts w:cs="Times New Roman" w:ascii="Times New Roman" w:hAnsi="Times New Roman"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</w:rPr>
              <w:t>On</w:t>
            </w:r>
            <w:r>
              <w:rPr>
                <w:rFonts w:cs="Times New Roman" w:ascii="Times New Roman" w:hAnsi="Times New Roman"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</w:rPr>
              <w:t>Earth</w:t>
            </w:r>
            <w:r>
              <w:rPr>
                <w:rFonts w:cs="Times New Roman" w:ascii="Times New Roman" w:hAnsi="Times New Roman"/>
                <w:lang w:val="sr-CS"/>
              </w:rPr>
              <w:t xml:space="preserve">. </w:t>
            </w:r>
            <w:r>
              <w:rPr>
                <w:rFonts w:cs="Times New Roman" w:ascii="Times New Roman" w:hAnsi="Times New Roman"/>
                <w:i/>
                <w:lang w:val="sr-CS"/>
              </w:rPr>
              <w:t>Црквене студије</w:t>
            </w:r>
            <w:r>
              <w:rPr>
                <w:rFonts w:cs="Times New Roman" w:ascii="Times New Roman" w:hAnsi="Times New Roman"/>
                <w:lang w:val="sr-CS"/>
              </w:rPr>
              <w:t xml:space="preserve"> 14</w:t>
            </w:r>
            <w:r>
              <w:rPr>
                <w:rFonts w:cs="Times New Roman" w:ascii="Times New Roman" w:hAnsi="Times New Roman"/>
              </w:rPr>
              <w:t xml:space="preserve">, 269–279. </w:t>
            </w:r>
            <w:r>
              <w:rPr>
                <w:rFonts w:cs="Times New Roman" w:ascii="Times New Roman" w:hAnsi="Times New Roman"/>
                <w:b/>
              </w:rPr>
              <w:t xml:space="preserve">(М24) 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both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</w:tr>
      <w:tr>
        <w:trPr>
          <w:trHeight w:val="429" w:hRule="atLeast"/>
        </w:trPr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uppressAutoHyphens w:val="true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8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both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Шаранац Стаменковић Ј. (2018): </w:t>
            </w:r>
            <w:r>
              <w:rPr>
                <w:rFonts w:cs="Times New Roman" w:ascii="Times New Roman" w:hAnsi="Times New Roman"/>
                <w:i/>
                <w:lang w:val="sr-CS"/>
              </w:rPr>
              <w:t>Иван Ђурић и улога интелектуалне елите у друштву</w:t>
            </w:r>
            <w:r>
              <w:rPr>
                <w:rFonts w:cs="Times New Roman" w:ascii="Times New Roman" w:hAnsi="Times New Roman"/>
                <w:lang w:val="sr-CS"/>
              </w:rPr>
              <w:t xml:space="preserve"> у: Благојевић Бојан (ур.) </w:t>
            </w:r>
            <w:r>
              <w:rPr>
                <w:rFonts w:cs="Times New Roman" w:ascii="Times New Roman" w:hAnsi="Times New Roman"/>
                <w:i/>
                <w:lang w:val="sr-CS"/>
              </w:rPr>
              <w:t>Место и улога друштвено-хуманистичкихнаука у савременом свету</w:t>
            </w:r>
            <w:r>
              <w:rPr>
                <w:rFonts w:cs="Times New Roman" w:ascii="Times New Roman" w:hAnsi="Times New Roman"/>
                <w:lang w:val="sr-CS"/>
              </w:rPr>
              <w:t>, Зборник радова са научног скупа Наука и савремени универзитет 7 одржане</w:t>
            </w:r>
            <w:r>
              <w:rPr>
                <w:rFonts w:ascii="Times New Roman" w:hAnsi="Times New Roman"/>
                <w:b/>
                <w:lang w:val="sr-CS"/>
              </w:rPr>
              <w:t xml:space="preserve"> </w:t>
            </w:r>
            <w:r>
              <w:rPr>
                <w:rFonts w:ascii="Times New Roman" w:hAnsi="Times New Roman"/>
                <w:lang w:val="sr-CS"/>
              </w:rPr>
              <w:t>10. новембар 2017. године на Филозофском факултету у Нишу</w:t>
            </w:r>
            <w:r>
              <w:rPr>
                <w:rFonts w:cs="Times New Roman" w:ascii="Times New Roman" w:hAnsi="Times New Roman"/>
                <w:lang w:val="sr-CS"/>
              </w:rPr>
              <w:t>, Ниш, 125–133. (</w:t>
            </w:r>
            <w:r>
              <w:rPr>
                <w:rFonts w:cs="Times New Roman" w:ascii="Times New Roman" w:hAnsi="Times New Roman"/>
                <w:b/>
                <w:lang w:val="sr-CS"/>
              </w:rPr>
              <w:t>М63</w:t>
            </w:r>
            <w:r>
              <w:rPr>
                <w:rFonts w:cs="Times New Roman" w:ascii="Times New Roman" w:hAnsi="Times New Roman"/>
                <w:lang w:val="sr-CS"/>
              </w:rPr>
              <w:t>)</w:t>
            </w:r>
          </w:p>
        </w:tc>
      </w:tr>
      <w:tr>
        <w:trPr>
          <w:trHeight w:val="429" w:hRule="atLeast"/>
        </w:trPr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uppressAutoHyphens w:val="true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8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Šaranac Stamenković, J. (2018): The Development of Byzantine Studies at the University of Niš  in: FACTA UNIVERSITATIS Series: Teaching, Learning and Teacher Education Vol. 2, N</w:t>
            </w:r>
            <w:r>
              <w:rPr>
                <w:rFonts w:cs="Times New Roman" w:ascii="Times New Roman" w:hAnsi="Times New Roman"/>
                <w:vertAlign w:val="superscript"/>
              </w:rPr>
              <w:t>0</w:t>
            </w:r>
            <w:r>
              <w:rPr>
                <w:rFonts w:cs="Times New Roman" w:ascii="Times New Roman" w:hAnsi="Times New Roman"/>
              </w:rPr>
              <w:t xml:space="preserve"> 2, 161–167. </w:t>
            </w:r>
            <w:r>
              <w:rPr>
                <w:rFonts w:cs="Times New Roman" w:ascii="Times New Roman" w:hAnsi="Times New Roman"/>
                <w:b/>
              </w:rPr>
              <w:t>(M53)</w:t>
            </w:r>
          </w:p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both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</w:tr>
      <w:tr>
        <w:trPr>
          <w:trHeight w:val="429" w:hRule="atLeast"/>
        </w:trPr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uppressAutoHyphens w:val="true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8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both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Шаранац Стаменковић,  Ј. (2019):</w:t>
            </w:r>
            <w:r>
              <w:rPr>
                <w:rFonts w:cs="Times New Roman" w:ascii="Times New Roman" w:hAnsi="Times New Roman"/>
                <w:b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lang w:val="sr-CS"/>
              </w:rPr>
              <w:t>Пселово молбено писмо византијском цару за помоћ вестарху Анастасију Лизику</w:t>
            </w:r>
            <w:r>
              <w:rPr>
                <w:rFonts w:cs="Times New Roman" w:ascii="Times New Roman" w:hAnsi="Times New Roman"/>
                <w:lang w:val="sr-CS"/>
              </w:rPr>
              <w:t xml:space="preserve">, у: Ракоција Миша (ур.) </w:t>
            </w:r>
            <w:r>
              <w:rPr>
                <w:rFonts w:cs="Times New Roman" w:ascii="Times New Roman" w:hAnsi="Times New Roman"/>
                <w:i/>
                <w:lang w:val="sr-CS"/>
              </w:rPr>
              <w:t>Ниш и Византија</w:t>
            </w:r>
            <w:r>
              <w:rPr>
                <w:rFonts w:cs="Times New Roman" w:ascii="Times New Roman" w:hAnsi="Times New Roman"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</w:rPr>
              <w:t>XVII</w:t>
            </w:r>
            <w:r>
              <w:rPr>
                <w:rFonts w:cs="Times New Roman" w:ascii="Times New Roman" w:hAnsi="Times New Roman"/>
                <w:lang w:val="sr-CS"/>
              </w:rPr>
              <w:t xml:space="preserve">, Зборник радова са међународног научног скупа одржаног од 3. до 5. јуна 2018. године у Нишу, 465–474 </w:t>
            </w:r>
            <w:r>
              <w:rPr>
                <w:rFonts w:cs="Times New Roman" w:ascii="Times New Roman" w:hAnsi="Times New Roman"/>
                <w:b/>
                <w:lang w:val="sr-CS"/>
              </w:rPr>
              <w:t>(М14)</w:t>
            </w:r>
          </w:p>
        </w:tc>
      </w:tr>
      <w:tr>
        <w:trPr>
          <w:trHeight w:val="429" w:hRule="atLeast"/>
        </w:trPr>
        <w:tc>
          <w:tcPr>
            <w:tcW w:w="1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uppressAutoHyphens w:val="true"/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  <w:tc>
          <w:tcPr>
            <w:tcW w:w="8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jc w:val="both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Шаранац Стаменковић, Ј. (2019): 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Рецепција Светог Писма у Пселовом царском говору посвећеном цару Михаилу </w:t>
            </w:r>
            <w:r>
              <w:rPr>
                <w:rFonts w:cs="Times New Roman" w:ascii="Times New Roman" w:hAnsi="Times New Roman"/>
                <w:i/>
              </w:rPr>
              <w:t>VII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Дуки</w:t>
            </w:r>
            <w:r>
              <w:rPr>
                <w:rFonts w:cs="Times New Roman" w:ascii="Times New Roman" w:hAnsi="Times New Roman"/>
                <w:lang w:val="sr-CS"/>
              </w:rPr>
              <w:t>, у: Бојовић  Драгиша – Митић Кристина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lang w:val="sr-CS"/>
              </w:rPr>
              <w:t xml:space="preserve">(ур.) </w:t>
            </w:r>
            <w:r>
              <w:rPr>
                <w:rFonts w:cs="Times New Roman" w:ascii="Times New Roman" w:hAnsi="Times New Roman"/>
                <w:i/>
                <w:lang w:val="sr-CS"/>
              </w:rPr>
              <w:t>Византијско-словенска  чтенија</w:t>
            </w:r>
            <w:r>
              <w:rPr>
                <w:rFonts w:cs="Times New Roman" w:ascii="Times New Roman" w:hAnsi="Times New Roman"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</w:rPr>
              <w:t>II</w:t>
            </w:r>
            <w:r>
              <w:rPr>
                <w:rFonts w:cs="Times New Roman" w:ascii="Times New Roman" w:hAnsi="Times New Roman"/>
                <w:lang w:val="sr-CS"/>
              </w:rPr>
              <w:t xml:space="preserve">, Зборник радова са Међународне научне конференције, одржане 24. новембра 2018. године на Универзитету у Нишу, 151–156. </w:t>
            </w:r>
            <w:r>
              <w:rPr>
                <w:rFonts w:cs="Times New Roman" w:ascii="Times New Roman" w:hAnsi="Times New Roman"/>
                <w:b/>
              </w:rPr>
              <w:t>(М33)</w:t>
            </w:r>
          </w:p>
        </w:tc>
      </w:tr>
      <w:tr>
        <w:trPr>
          <w:trHeight w:val="429" w:hRule="atLeast"/>
        </w:trPr>
        <w:tc>
          <w:tcPr>
            <w:tcW w:w="963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429" w:hRule="atLeast"/>
        </w:trPr>
        <w:tc>
          <w:tcPr>
            <w:tcW w:w="3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>Укупан број цитата</w:t>
            </w:r>
          </w:p>
        </w:tc>
        <w:tc>
          <w:tcPr>
            <w:tcW w:w="5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>7</w:t>
            </w:r>
          </w:p>
        </w:tc>
      </w:tr>
      <w:tr>
        <w:trPr>
          <w:trHeight w:val="539" w:hRule="atLeast"/>
        </w:trPr>
        <w:tc>
          <w:tcPr>
            <w:tcW w:w="3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>Укупан број радова са SCI (SSCI) листе</w:t>
            </w:r>
          </w:p>
        </w:tc>
        <w:tc>
          <w:tcPr>
            <w:tcW w:w="5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b/>
                <w:b/>
                <w:highlight w:val="white"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1: </w:t>
            </w:r>
            <w:r>
              <w:rPr>
                <w:rFonts w:cs="Times New Roman" w:ascii="Times New Roman" w:hAnsi="Times New Roman"/>
                <w:lang w:val="ru-RU"/>
              </w:rPr>
              <w:t xml:space="preserve">Шаранац Стаменковић, Ј. </w:t>
            </w:r>
            <w:r>
              <w:rPr>
                <w:rFonts w:cs="Times New Roman" w:ascii="Times New Roman" w:hAnsi="Times New Roman"/>
              </w:rPr>
              <w:t xml:space="preserve">(2013): Иконографија печата и новца династије Дука. </w:t>
            </w:r>
            <w:r>
              <w:rPr>
                <w:rFonts w:cs="Times New Roman" w:ascii="Times New Roman" w:hAnsi="Times New Roman"/>
                <w:i/>
              </w:rPr>
              <w:t xml:space="preserve">Зограф </w:t>
            </w:r>
            <w:r>
              <w:rPr>
                <w:rFonts w:cs="Times New Roman" w:ascii="Times New Roman" w:hAnsi="Times New Roman"/>
              </w:rPr>
              <w:t xml:space="preserve">37, 55–80. </w:t>
            </w:r>
            <w:r>
              <w:rPr>
                <w:rFonts w:cs="Times New Roman" w:ascii="Times New Roman" w:hAnsi="Times New Roman"/>
                <w:b/>
                <w:lang w:val="ru-RU"/>
              </w:rPr>
              <w:t>(М23)</w:t>
            </w:r>
          </w:p>
        </w:tc>
      </w:tr>
      <w:tr>
        <w:trPr>
          <w:trHeight w:val="279" w:hRule="atLeast"/>
        </w:trPr>
        <w:tc>
          <w:tcPr>
            <w:tcW w:w="3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>Тренутно учешће на пројектима</w:t>
            </w:r>
          </w:p>
        </w:tc>
        <w:tc>
          <w:tcPr>
            <w:tcW w:w="5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  <w:i/>
                <w:i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Домаћи:2 </w:t>
            </w:r>
            <w:r>
              <w:rPr>
                <w:rFonts w:cs="Times New Roman" w:ascii="Times New Roman" w:hAnsi="Times New Roman"/>
                <w:i/>
                <w:lang w:val="sr-CS"/>
              </w:rPr>
              <w:t>Хришћанска култура на Балкану у средњем веку: Византијско царство, Срби и Бугари од IX до XV века</w:t>
            </w:r>
            <w:r>
              <w:rPr>
                <w:rFonts w:cs="Times New Roman" w:ascii="Times New Roman" w:hAnsi="Times New Roman"/>
                <w:lang w:val="sr-CS"/>
              </w:rPr>
              <w:t xml:space="preserve"> (бр.177015)</w:t>
            </w:r>
            <w:r>
              <w:rPr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lang w:val="sr-CS"/>
              </w:rPr>
              <w:t>Министарства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lang w:val="sr-CS"/>
              </w:rPr>
              <w:t>просвете,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lang w:val="sr-CS"/>
              </w:rPr>
              <w:t>науке и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lang w:val="sr-CS"/>
              </w:rPr>
              <w:t>технолошког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lang w:val="sr-CS"/>
              </w:rPr>
              <w:t>развоја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lang w:val="sr-CS"/>
              </w:rPr>
              <w:t>Републике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lang w:val="sr-CS"/>
              </w:rPr>
              <w:t>Србије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</w:t>
            </w:r>
            <w:r>
              <w:rPr>
                <w:rFonts w:cs="Times New Roman" w:ascii="Times New Roman" w:hAnsi="Times New Roman"/>
                <w:lang w:val="sr-CS"/>
              </w:rPr>
              <w:t>и</w:t>
            </w:r>
            <w:r>
              <w:rPr>
                <w:rFonts w:cs="Times New Roman" w:ascii="Times New Roman" w:hAnsi="Times New Roman"/>
                <w:i/>
                <w:lang w:val="sr-CS"/>
              </w:rPr>
              <w:t xml:space="preserve"> Ниш и Понишавље у антици и </w:t>
            </w:r>
            <w:r>
              <w:rPr>
                <w:rFonts w:cs="Times New Roman" w:ascii="Times New Roman" w:hAnsi="Times New Roman"/>
                <w:i/>
              </w:rPr>
              <w:t>средњем веку</w:t>
            </w:r>
            <w:r>
              <w:rPr>
                <w:rFonts w:cs="Times New Roman" w:ascii="Times New Roman" w:hAnsi="Times New Roman"/>
              </w:rPr>
              <w:t xml:space="preserve"> бр. 0-17-18 САНУ</w:t>
            </w:r>
          </w:p>
        </w:tc>
      </w:tr>
      <w:tr>
        <w:trPr>
          <w:trHeight w:val="429" w:hRule="atLeast"/>
        </w:trPr>
        <w:tc>
          <w:tcPr>
            <w:tcW w:w="1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 xml:space="preserve">Усавршавања </w:t>
            </w:r>
          </w:p>
        </w:tc>
        <w:tc>
          <w:tcPr>
            <w:tcW w:w="77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</w:tr>
      <w:tr>
        <w:trPr>
          <w:trHeight w:val="429" w:hRule="atLeast"/>
        </w:trPr>
        <w:tc>
          <w:tcPr>
            <w:tcW w:w="963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>Други подаци које сматрате релевантним</w:t>
            </w:r>
          </w:p>
        </w:tc>
      </w:tr>
      <w:tr>
        <w:trPr>
          <w:trHeight w:val="429" w:hRule="atLeast"/>
        </w:trPr>
        <w:tc>
          <w:tcPr>
            <w:tcW w:w="963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sr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851" w:header="113" w:top="1134" w:footer="170" w:bottom="1134" w:gutter="0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320" w:leader="none"/>
        <w:tab w:val="right" w:pos="8640" w:leader="none"/>
      </w:tabs>
      <w:jc w:val="center"/>
      <w:rPr>
        <w:rFonts w:ascii="Times New Roman" w:hAnsi="Times New Roman" w:eastAsia="Times New Roman" w:cs="Times New Roman"/>
        <w:color w:val="000000"/>
        <w:u w:val="single"/>
      </w:rPr>
    </w:pPr>
    <w:r>
      <w:rPr>
        <w:rFonts w:eastAsia="Times New Roman" w:cs="Times New Roman" w:ascii="Times New Roman" w:hAnsi="Times New Roman"/>
        <w:color w:val="000000"/>
        <w:u w:val="single"/>
      </w:rPr>
      <w:t>www.filfak.ni.ac.rs</w:t>
    </w:r>
  </w:p>
  <w:p>
    <w:pPr>
      <w:pStyle w:val="Normal"/>
      <w:tabs>
        <w:tab w:val="clear" w:pos="720"/>
        <w:tab w:val="center" w:pos="4320" w:leader="none"/>
        <w:tab w:val="right" w:pos="8640" w:leader="none"/>
      </w:tabs>
      <w:jc w:val="center"/>
      <w:rPr>
        <w:rFonts w:ascii="Times New Roman" w:hAnsi="Times New Roman" w:eastAsia="Times New Roman" w:cs="Times New Roman"/>
        <w:color w:val="000000"/>
      </w:rPr>
    </w:pPr>
    <w:r>
      <w:rPr>
        <w:rFonts w:eastAsia="Times New Roman" w:cs="Times New Roman" w:ascii="Times New Roman" w:hAnsi="Times New Roman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320" w:leader="none"/>
        <w:tab w:val="right" w:pos="8640" w:leader="none"/>
      </w:tabs>
      <w:rPr>
        <w:rFonts w:ascii="Times New Roman" w:hAnsi="Times New Roman" w:eastAsia="Times New Roman" w:cs="Times New Roman"/>
        <w:color w:val="000000"/>
      </w:rPr>
    </w:pPr>
    <w:r>
      <w:rPr>
        <w:rFonts w:eastAsia="Times New Roman" w:cs="Times New Roman" w:ascii="Times New Roman" w:hAnsi="Times New Roman"/>
        <w:color w:val="000000"/>
      </w:rPr>
      <w:t xml:space="preserve">       </w:t>
    </w:r>
  </w:p>
  <w:tbl>
    <w:tblPr>
      <w:tblW w:w="9658" w:type="dxa"/>
      <w:jc w:val="center"/>
      <w:tblInd w:w="0" w:type="dxa"/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508"/>
      <w:gridCol w:w="6590"/>
      <w:gridCol w:w="1560"/>
    </w:tblGrid>
    <w:tr>
      <w:trPr>
        <w:trHeight w:val="180" w:hRule="atLeast"/>
      </w:trPr>
      <w:tc>
        <w:tcPr>
          <w:tcW w:w="150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tabs>
              <w:tab w:val="clear" w:pos="720"/>
              <w:tab w:val="center" w:pos="4320" w:leader="none"/>
              <w:tab w:val="right" w:pos="8640" w:leader="none"/>
            </w:tabs>
            <w:rPr>
              <w:rFonts w:ascii="Times New Roman" w:hAnsi="Times New Roman" w:eastAsia="Times New Roman" w:cs="Times New Roman"/>
              <w:color w:val="000000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000000"/>
              <w:sz w:val="18"/>
              <w:szCs w:val="18"/>
            </w:rPr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137795</wp:posOffset>
                </wp:positionH>
                <wp:positionV relativeFrom="paragraph">
                  <wp:posOffset>55880</wp:posOffset>
                </wp:positionV>
                <wp:extent cx="485775" cy="476250"/>
                <wp:effectExtent l="0" t="0" r="0" b="0"/>
                <wp:wrapNone/>
                <wp:docPr id="1" name="image2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FFFFFF" w:val="clear"/>
          <w:vAlign w:val="center"/>
        </w:tcPr>
        <w:p>
          <w:pPr>
            <w:pStyle w:val="Normal"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rFonts w:ascii="Times New Roman" w:hAnsi="Times New Roman"/>
              <w:color w:val="333399"/>
              <w:sz w:val="24"/>
              <w:szCs w:val="24"/>
            </w:rPr>
          </w:pPr>
          <w:r>
            <w:rPr>
              <w:rFonts w:ascii="Times New Roman" w:hAnsi="Times New Roman"/>
              <w:color w:val="333399"/>
              <w:sz w:val="24"/>
              <w:szCs w:val="24"/>
            </w:rPr>
            <w:t>Универзитет у Нишу</w:t>
          </w:r>
        </w:p>
        <w:p>
          <w:pPr>
            <w:pStyle w:val="Normal"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rFonts w:ascii="Times New Roman" w:hAnsi="Times New Roman"/>
              <w:color w:val="333399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6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tabs>
              <w:tab w:val="clear" w:pos="720"/>
              <w:tab w:val="center" w:pos="4320" w:leader="none"/>
              <w:tab w:val="right" w:pos="8640" w:leader="none"/>
            </w:tabs>
            <w:jc w:val="right"/>
            <w:rPr>
              <w:rFonts w:ascii="Times New Roman" w:hAnsi="Times New Roman" w:eastAsia="Times New Roman" w:cs="Times New Roman"/>
              <w:color w:val="000000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000000"/>
              <w:sz w:val="18"/>
              <w:szCs w:val="18"/>
            </w:rPr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161290</wp:posOffset>
                </wp:positionH>
                <wp:positionV relativeFrom="paragraph">
                  <wp:posOffset>38100</wp:posOffset>
                </wp:positionV>
                <wp:extent cx="495935" cy="494030"/>
                <wp:effectExtent l="0" t="0" r="0" b="0"/>
                <wp:wrapNone/>
                <wp:docPr id="2" name="image1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trHeight w:val="240" w:hRule="atLeast"/>
      </w:trPr>
      <w:tc>
        <w:tcPr>
          <w:tcW w:w="1508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spacing w:lineRule="auto" w:line="276"/>
            <w:rPr>
              <w:rFonts w:ascii="Times New Roman" w:hAnsi="Times New Roman" w:eastAsia="Times New Roman" w:cs="Times New Roman"/>
              <w:color w:val="000000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000000"/>
              <w:sz w:val="18"/>
              <w:szCs w:val="18"/>
            </w:rPr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E6E6E6" w:val="clear"/>
          <w:vAlign w:val="center"/>
        </w:tcPr>
        <w:p>
          <w:pPr>
            <w:pStyle w:val="Normal"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/>
          </w:pPr>
          <w:r>
            <w:rPr>
              <w:rFonts w:ascii="Times New Roman" w:hAnsi="Times New Roman"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60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spacing w:lineRule="auto" w:line="276"/>
            <w:rPr>
              <w:rFonts w:ascii="Times New Roman" w:hAnsi="Times New Roman" w:eastAsia="Times New Roman" w:cs="Times New Roman"/>
              <w:color w:val="333399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333399"/>
              <w:sz w:val="18"/>
              <w:szCs w:val="18"/>
            </w:rPr>
          </w:r>
        </w:p>
      </w:tc>
    </w:tr>
    <w:tr>
      <w:trPr>
        <w:trHeight w:val="292" w:hRule="atLeast"/>
      </w:trPr>
      <w:tc>
        <w:tcPr>
          <w:tcW w:w="1508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spacing w:lineRule="auto" w:line="276"/>
            <w:rPr>
              <w:rFonts w:ascii="Times New Roman" w:hAnsi="Times New Roman" w:eastAsia="Times New Roman" w:cs="Times New Roman"/>
              <w:color w:val="333399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333399"/>
              <w:sz w:val="18"/>
              <w:szCs w:val="18"/>
            </w:rPr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FFFFFF" w:val="clear"/>
          <w:vAlign w:val="center"/>
        </w:tcPr>
        <w:p>
          <w:pPr>
            <w:pStyle w:val="Normal"/>
            <w:tabs>
              <w:tab w:val="clear" w:pos="720"/>
              <w:tab w:val="center" w:pos="4320" w:leader="none"/>
              <w:tab w:val="right" w:pos="8640" w:leader="none"/>
            </w:tabs>
            <w:jc w:val="center"/>
            <w:rPr>
              <w:rFonts w:ascii="Times New Roman" w:hAnsi="Times New Roman"/>
              <w:b/>
              <w:b/>
              <w:color w:val="333399"/>
              <w:sz w:val="24"/>
              <w:szCs w:val="24"/>
              <w:lang w:val="sr-RS"/>
            </w:rPr>
          </w:pPr>
          <w:r>
            <w:rPr>
              <w:rFonts w:eastAsia="NSimSun" w:cs="Arial" w:ascii="Times New Roman" w:hAnsi="Times New Roman"/>
              <w:b/>
              <w:color w:val="333399"/>
              <w:kern w:val="0"/>
              <w:sz w:val="24"/>
              <w:szCs w:val="24"/>
              <w:lang w:val="sr-RS" w:eastAsia="zh-CN" w:bidi="hi-IN"/>
            </w:rPr>
            <w:t>Мастер</w:t>
          </w:r>
          <w:r>
            <w:rPr>
              <w:rFonts w:ascii="Times New Roman" w:hAnsi="Times New Roman"/>
              <w:b/>
              <w:color w:val="333399"/>
              <w:sz w:val="24"/>
              <w:szCs w:val="24"/>
              <w:lang w:val="sr-RS"/>
            </w:rPr>
            <w:t xml:space="preserve"> академске студије историје</w:t>
          </w:r>
        </w:p>
      </w:tc>
      <w:tc>
        <w:tcPr>
          <w:tcW w:w="1560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color="auto" w:fill="auto" w:val="clear"/>
        </w:tcPr>
        <w:p>
          <w:pPr>
            <w:pStyle w:val="Normal"/>
            <w:spacing w:lineRule="auto" w:line="276"/>
            <w:rPr>
              <w:rFonts w:ascii="Times New Roman" w:hAnsi="Times New Roman" w:eastAsia="Times New Roman" w:cs="Times New Roman"/>
              <w:color w:val="000000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000000"/>
              <w:sz w:val="18"/>
              <w:szCs w:val="18"/>
            </w:rPr>
          </w:r>
        </w:p>
      </w:tc>
    </w:tr>
  </w:tbl>
  <w:p>
    <w:pPr>
      <w:pStyle w:val="Normal"/>
      <w:tabs>
        <w:tab w:val="clear" w:pos="720"/>
        <w:tab w:val="center" w:pos="4320" w:leader="none"/>
        <w:tab w:val="right" w:pos="8640" w:leader="none"/>
      </w:tabs>
      <w:jc w:val="center"/>
      <w:rPr>
        <w:rFonts w:ascii="Times New Roman" w:hAnsi="Times New Roman" w:eastAsia="Times New Roman" w:cs="Times New Roman"/>
        <w:color w:val="000000"/>
        <w:sz w:val="18"/>
        <w:szCs w:val="18"/>
      </w:rPr>
    </w:pPr>
    <w:r>
      <w:rPr>
        <w:rFonts w:eastAsia="Times New Roman" w:cs="Times New Roman" w:ascii="Times New Roman" w:hAnsi="Times New Roman"/>
        <w:color w:val="0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lang w:val="en-GB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404b9"/>
    <w:pPr>
      <w:widowControl w:val="false"/>
      <w:bidi w:val="0"/>
      <w:jc w:val="left"/>
    </w:pPr>
    <w:rPr>
      <w:rFonts w:ascii="Calibri" w:hAnsi="Calibri" w:eastAsia="NSimSun" w:cs="Arial"/>
      <w:color w:val="auto"/>
      <w:kern w:val="0"/>
      <w:sz w:val="20"/>
      <w:szCs w:val="20"/>
      <w:lang w:val="en-GB" w:eastAsia="zh-CN" w:bidi="hi-IN"/>
    </w:rPr>
  </w:style>
  <w:style w:type="paragraph" w:styleId="Heading1">
    <w:name w:val="Heading 1"/>
    <w:basedOn w:val="Normal"/>
    <w:next w:val="LOnormal"/>
    <w:qFormat/>
    <w:rsid w:val="006404b9"/>
    <w:pPr>
      <w:keepNext w:val="true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normal"/>
    <w:qFormat/>
    <w:rsid w:val="006404b9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normal"/>
    <w:qFormat/>
    <w:rsid w:val="006404b9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normal"/>
    <w:qFormat/>
    <w:rsid w:val="006404b9"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normal"/>
    <w:qFormat/>
    <w:rsid w:val="006404b9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normal"/>
    <w:qFormat/>
    <w:rsid w:val="006404b9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rsid w:val="0040732c"/>
    <w:rPr>
      <w:color w:val="0000FF"/>
      <w:u w:val="single"/>
    </w:rPr>
  </w:style>
  <w:style w:type="paragraph" w:styleId="Heading" w:customStyle="1">
    <w:name w:val="Heading"/>
    <w:basedOn w:val="Normal"/>
    <w:next w:val="TextBody"/>
    <w:qFormat/>
    <w:rsid w:val="006404b9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rsid w:val="006404b9"/>
    <w:pPr>
      <w:spacing w:lineRule="auto" w:line="276" w:before="0" w:after="140"/>
    </w:pPr>
    <w:rPr/>
  </w:style>
  <w:style w:type="paragraph" w:styleId="List">
    <w:name w:val="List"/>
    <w:basedOn w:val="TextBody"/>
    <w:rsid w:val="006404b9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rsid w:val="006404b9"/>
    <w:pPr>
      <w:suppressLineNumbers/>
    </w:pPr>
    <w:rPr/>
  </w:style>
  <w:style w:type="paragraph" w:styleId="Caption1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styleId="LOnormal" w:customStyle="1">
    <w:name w:val="LO-normal"/>
    <w:qFormat/>
    <w:rsid w:val="006404b9"/>
    <w:pPr>
      <w:widowControl/>
      <w:bidi w:val="0"/>
      <w:jc w:val="left"/>
    </w:pPr>
    <w:rPr>
      <w:rFonts w:ascii="Calibri" w:hAnsi="Calibri" w:eastAsia="NSimSun" w:cs="Arial"/>
      <w:color w:val="auto"/>
      <w:kern w:val="0"/>
      <w:sz w:val="20"/>
      <w:szCs w:val="20"/>
      <w:lang w:val="en-GB" w:eastAsia="zh-CN" w:bidi="hi-IN"/>
    </w:rPr>
  </w:style>
  <w:style w:type="paragraph" w:styleId="Title">
    <w:name w:val="Title"/>
    <w:basedOn w:val="LOnormal"/>
    <w:next w:val="LOnormal"/>
    <w:qFormat/>
    <w:rsid w:val="006404b9"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normal"/>
    <w:next w:val="LOnormal"/>
    <w:qFormat/>
    <w:rsid w:val="006404b9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6404b9"/>
    <w:pPr/>
    <w:rPr/>
  </w:style>
  <w:style w:type="paragraph" w:styleId="Footer">
    <w:name w:val="Footer"/>
    <w:basedOn w:val="Normal"/>
    <w:rsid w:val="006404b9"/>
    <w:pPr/>
    <w:rPr/>
  </w:style>
  <w:style w:type="paragraph" w:styleId="ListParagraph">
    <w:name w:val="List Paragraph"/>
    <w:basedOn w:val="Normal"/>
    <w:uiPriority w:val="34"/>
    <w:qFormat/>
    <w:rsid w:val="00f5778b"/>
    <w:pPr>
      <w:spacing w:before="0" w:after="0"/>
      <w:ind w:left="720" w:hanging="0"/>
      <w:contextualSpacing/>
    </w:pPr>
    <w:rPr>
      <w:rFonts w:cs="Mangal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2e5454"/>
    <w:pPr>
      <w:widowControl/>
      <w:spacing w:beforeAutospacing="1" w:afterAutospacing="1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Application>LibreOffice/6.3.1.2$Windows_X86_64 LibreOffice_project/b79626edf0065ac373bd1df5c28bd630b4424273</Application>
  <Pages>2</Pages>
  <Words>745</Words>
  <Characters>4349</Characters>
  <CharactersWithSpaces>4981</CharactersWithSpaces>
  <Paragraphs>140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2019-11-06T14:21:00Z</dcterms:created>
  <dc:creator>0</dc:creator>
  <dc:description/>
  <dc:language>sr-Latn-RS</dc:language>
  <cp:lastModifiedBy/>
  <dcterms:modified xsi:type="dcterms:W3CDTF">2020-10-02T13:26:33Z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